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T.C. MALTEPE UNIVERSITY FACULTY OF MEDICINE</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PHASE V LICENCE PROGRAM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br w:type="textWrapping"/>
        <w:t xml:space="preserve">2023-2024 ACADEMIC YEAR</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EDUCATIONAL INFORMATION PACKAGE</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bl>
      <w:tblPr>
        <w:tblStyle w:val="Table1"/>
        <w:tblW w:w="9029.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504"/>
        <w:gridCol w:w="1505"/>
        <w:gridCol w:w="1505"/>
        <w:gridCol w:w="752"/>
        <w:gridCol w:w="752"/>
        <w:gridCol w:w="1505"/>
        <w:gridCol w:w="1506"/>
        <w:tblGridChange w:id="0">
          <w:tblGrid>
            <w:gridCol w:w="1504"/>
            <w:gridCol w:w="1505"/>
            <w:gridCol w:w="1505"/>
            <w:gridCol w:w="752"/>
            <w:gridCol w:w="752"/>
            <w:gridCol w:w="1505"/>
            <w:gridCol w:w="1506"/>
          </w:tblGrid>
        </w:tblGridChange>
      </w:tblGrid>
      <w:tr>
        <w:trPr>
          <w:cantSplit w:val="0"/>
          <w:trHeight w:val="460" w:hRule="atLeast"/>
          <w:tblHeader w:val="0"/>
        </w:trPr>
        <w:tc>
          <w:tcPr>
            <w:gridSpan w:val="7"/>
            <w:tcBorders>
              <w:top w:color="000000" w:space="0" w:sz="8" w:val="single"/>
              <w:left w:color="000000" w:space="0" w:sz="8" w:val="single"/>
              <w:bottom w:color="000000" w:space="0" w:sz="8" w:val="single"/>
              <w:right w:color="00000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COURSE INFORMATION</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Course Name</w:t>
            </w: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Plastic, Reconstructive and Aesthetic Surgery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Course Code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MED 512</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Phase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5</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Level of the Course</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Undergraduate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Language of the Course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English</w:t>
            </w:r>
            <w:r w:rsidDel="00000000" w:rsidR="00000000" w:rsidRPr="00000000">
              <w:rPr>
                <w:rtl w:val="0"/>
              </w:rPr>
            </w:r>
          </w:p>
        </w:tc>
      </w:tr>
      <w:tr>
        <w:trPr>
          <w:cantSplit w:val="0"/>
          <w:trHeight w:val="42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Mode of Delivery</w:t>
            </w: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Face to face, E-Learning ,  hybrid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Lesson Type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Compulsory</w:t>
            </w:r>
            <w:r w:rsidDel="00000000" w:rsidR="00000000" w:rsidRPr="00000000">
              <w:rPr>
                <w:rtl w:val="0"/>
              </w:rPr>
            </w:r>
          </w:p>
        </w:tc>
      </w:tr>
      <w:tr>
        <w:trPr>
          <w:cantSplit w:val="0"/>
          <w:trHeight w:val="61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Practice/Laboratuary Site</w:t>
            </w: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Maltepe University Medical Faculty Hospital, Polyclinics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Suggested Courses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None</w:t>
            </w:r>
            <w:r w:rsidDel="00000000" w:rsidR="00000000" w:rsidRPr="00000000">
              <w:rPr>
                <w:rtl w:val="0"/>
              </w:rPr>
            </w:r>
          </w:p>
        </w:tc>
      </w:tr>
      <w:tr>
        <w:trPr>
          <w:cantSplit w:val="0"/>
          <w:trHeight w:val="81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Prerequisite</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 MED 100 </w:t>
              <w:br w:type="textWrapping"/>
              <w:t xml:space="preserve">2. MED 200</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 MED 300</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 All courses in Phase 4 </w:t>
            </w:r>
            <w:r w:rsidDel="00000000" w:rsidR="00000000" w:rsidRPr="00000000">
              <w:rPr>
                <w:rtl w:val="0"/>
              </w:rPr>
            </w:r>
          </w:p>
        </w:tc>
        <w:tc>
          <w:tcPr>
            <w:gridSpan w:val="3"/>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Concurrent Requirements:</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None</w:t>
            </w:r>
            <w:r w:rsidDel="00000000" w:rsidR="00000000" w:rsidRPr="00000000">
              <w:rPr>
                <w:rtl w:val="0"/>
              </w:rPr>
            </w:r>
          </w:p>
        </w:tc>
      </w:tr>
    </w:tbl>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bl>
      <w:tblPr>
        <w:tblStyle w:val="Table2"/>
        <w:tblW w:w="9029.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2410"/>
        <w:gridCol w:w="2552"/>
        <w:gridCol w:w="2033"/>
        <w:gridCol w:w="2034"/>
        <w:tblGridChange w:id="0">
          <w:tblGrid>
            <w:gridCol w:w="2410"/>
            <w:gridCol w:w="2552"/>
            <w:gridCol w:w="2033"/>
            <w:gridCol w:w="2034"/>
          </w:tblGrid>
        </w:tblGridChange>
      </w:tblGrid>
      <w:tr>
        <w:trPr>
          <w:cantSplit w:val="0"/>
          <w:trHeight w:val="420" w:hRule="atLeast"/>
          <w:tblHeader w:val="0"/>
        </w:trPr>
        <w:tc>
          <w:tcPr>
            <w:gridSpan w:val="4"/>
            <w:tcBorders>
              <w:top w:color="000000" w:space="0" w:sz="8" w:val="single"/>
              <w:left w:color="000000" w:space="0" w:sz="8" w:val="single"/>
              <w:bottom w:color="000000" w:space="0" w:sz="8" w:val="single"/>
              <w:right w:color="00000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ECTS</w:t>
            </w:r>
            <w:r w:rsidDel="00000000" w:rsidR="00000000" w:rsidRPr="00000000">
              <w:rPr>
                <w:rtl w:val="0"/>
              </w:rPr>
            </w:r>
          </w:p>
        </w:tc>
      </w:tr>
      <w:tr>
        <w:trPr>
          <w:cantSplit w:val="0"/>
          <w:trHeight w:val="44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ECTS Credits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Theoretical Lecture Hours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Practical Hours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Course Duration</w:t>
            </w:r>
            <w:r w:rsidDel="00000000" w:rsidR="00000000" w:rsidRPr="00000000">
              <w:rPr>
                <w:rtl w:val="0"/>
              </w:rPr>
            </w:r>
          </w:p>
        </w:tc>
      </w:tr>
      <w:tr>
        <w:trPr>
          <w:cantSplit w:val="0"/>
          <w:trHeight w:val="41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3</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18</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42</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 weeks</w:t>
            </w:r>
            <w:r w:rsidDel="00000000" w:rsidR="00000000" w:rsidRPr="00000000">
              <w:rPr>
                <w:rtl w:val="0"/>
              </w:rPr>
            </w:r>
          </w:p>
        </w:tc>
      </w:tr>
    </w:tbl>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bl>
      <w:tblPr>
        <w:tblStyle w:val="Table3"/>
        <w:tblW w:w="9029.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029"/>
        <w:tblGridChange w:id="0">
          <w:tblGrid>
            <w:gridCol w:w="9029"/>
          </w:tblGrid>
        </w:tblGridChange>
      </w:tblGrid>
      <w:tr>
        <w:trPr>
          <w:cantSplit w:val="0"/>
          <w:trHeight w:val="46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COURSE COORDINATOR AND INSTRUCTORS</w:t>
            </w:r>
            <w:r w:rsidDel="00000000" w:rsidR="00000000" w:rsidRPr="00000000">
              <w:rPr>
                <w:rtl w:val="0"/>
              </w:rPr>
            </w:r>
          </w:p>
        </w:tc>
      </w:tr>
      <w:tr>
        <w:trPr>
          <w:cantSplit w:val="0"/>
          <w:trHeight w:val="685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260.0" w:type="dxa"/>
              <w:bottom w:w="80.0" w:type="dxa"/>
              <w:right w:w="332.0" w:type="dxa"/>
            </w:tcMar>
            <w:vAlign w:val="cente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Course Coordinator, Contact Details and Office Hours: </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Tayfun AKÖZ, MD., Professor, Maltepe University, Faculty of Medicine </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Department of Plastic, Reconstructive and Aesthetic Surgery </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hyperlink r:id="rId6">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tayfun.akoz@maltepe.edu.tr</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Extension: 2145 </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Office Hours: </w:t>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Wednesday:14:00-15:00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25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52"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Instructors, contact information and Office hours:</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52"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Tayfun AKÖZ, MD., Professor, Maltepe University, Faculty of Medicine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Department of Plastic, Reconstructive and Aesthetic Surgery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hyperlink r:id="rId7">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tayfun.akoz@maltepe.edu.tr</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Extension: 2145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Office Hours: </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Wednesday:14:00-15:00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252"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Nebil Yeşiloğlu MD., Associate Professor, Maltepe University, Faculty of Medicine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Department of Plastic, Reconstructive and Aesthetic Surgery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hyperlink r:id="rId8">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nebil.yesiloglu@maltepe.edu.tr</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 Extension: 2145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Office Hours: </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Tuesday:14:00-15:00 </w:t>
            </w: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Emre Güvercin MD., Assistant Professor, Maltepe University, Faculty of Medicine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Department of Plastic, Reconstructive and Aesthetic Surgery </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hyperlink r:id="rId9">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emre.guvercin@maltepe.edu.tr</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Extension: 2145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Office Hours: </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Thursday:09.00-10.00</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bl>
      <w:tblPr>
        <w:tblStyle w:val="Table4"/>
        <w:tblW w:w="9029.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029"/>
        <w:tblGridChange w:id="0">
          <w:tblGrid>
            <w:gridCol w:w="9029"/>
          </w:tblGrid>
        </w:tblGridChange>
      </w:tblGrid>
      <w:tr>
        <w:trPr>
          <w:cantSplit w:val="0"/>
          <w:trHeight w:val="46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GENERAL OBJECTIVE AND CATEGORY OF THE COURSE</w:t>
            </w:r>
            <w:r w:rsidDel="00000000" w:rsidR="00000000" w:rsidRPr="00000000">
              <w:rPr>
                <w:rtl w:val="0"/>
              </w:rPr>
            </w:r>
          </w:p>
        </w:tc>
      </w:tr>
      <w:tr>
        <w:trPr>
          <w:cantSplit w:val="0"/>
          <w:trHeight w:val="433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introduce plastic, reconstructive and aesthetic surgery occupational tips, teach trainees basic knowledge about the types of wounds and treatment; teach the timing in the treatment of cleft lip and cleft palate and the other congenital abnormalities, informing the relatives of patients; management of the patients with head and neck trauma, diagnosis and treatment principles of soft tissue injuries and facial fractures and enable to give first aid service in such patients; to teach the basic principles of grafts and flaps, diagnosis and treatment principles of pressure ulcers, lymphedamatous diseases; to teach the diagnosis and treatment principles of the burns’ sequelae; to provide basic knowledge about hand surgery; to make students competent in the basic principles of plastic surgery, enable them to perform wound care with simple suture techniques and dressing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Category of course: </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Basic Professional Lectures X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Specialty / Field Lectures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Supportive lectures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Lectures on transferable skills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Lectures on humanistic, communicative and governmental skills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bl>
      <w:tblPr>
        <w:tblStyle w:val="Table5"/>
        <w:tblW w:w="9029.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029"/>
        <w:tblGridChange w:id="0">
          <w:tblGrid>
            <w:gridCol w:w="9029"/>
          </w:tblGrid>
        </w:tblGridChange>
      </w:tblGrid>
      <w:tr>
        <w:trPr>
          <w:cantSplit w:val="0"/>
          <w:trHeight w:val="46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COURSE LEARNING OUTCOMES, SUB-SKILLS AND COMPETENCIES</w:t>
            </w:r>
            <w:r w:rsidDel="00000000" w:rsidR="00000000" w:rsidRPr="00000000">
              <w:rPr>
                <w:rtl w:val="0"/>
              </w:rPr>
            </w:r>
          </w:p>
        </w:tc>
      </w:tr>
      <w:tr>
        <w:trPr>
          <w:cantSplit w:val="0"/>
          <w:trHeight w:val="2477"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At the end of the course the students will be able to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3"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suture simple lacerations taking aesthetic considerations into account EM4 EM5 ME7</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3"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diagnose hand and maxillofacial traumas; perform intervention under emergency conditions EM4 EM5 ME7</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13"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diagnose cleft palate and cleft lip and inform the parents about basic child care issues. EM4 EM5 ME7</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13"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diagnose and treat first and second grade burns EM4 EM5 ME7</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13"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diagnose skin cancers except melanoma EM4 EM5 ME7</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diagnose pressure ulcers and inform patients about appropriate management and preventive measures EM4 EM5 ME7</w:t>
            </w:r>
            <w:r w:rsidDel="00000000" w:rsidR="00000000" w:rsidRPr="00000000">
              <w:rPr>
                <w:rtl w:val="0"/>
              </w:rPr>
            </w:r>
          </w:p>
        </w:tc>
      </w:tr>
    </w:tbl>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bl>
      <w:tblPr>
        <w:tblStyle w:val="Table6"/>
        <w:tblW w:w="9029.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029"/>
        <w:tblGridChange w:id="0">
          <w:tblGrid>
            <w:gridCol w:w="9029"/>
          </w:tblGrid>
        </w:tblGridChange>
      </w:tblGrid>
      <w:tr>
        <w:trPr>
          <w:cantSplit w:val="0"/>
          <w:trHeight w:val="46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GENERAL COMPETENCIES:</w:t>
            </w:r>
            <w:r w:rsidDel="00000000" w:rsidR="00000000" w:rsidRPr="00000000">
              <w:rPr>
                <w:rtl w:val="0"/>
              </w:rPr>
            </w:r>
          </w:p>
        </w:tc>
      </w:tr>
      <w:tr>
        <w:trPr>
          <w:cantSplit w:val="0"/>
          <w:trHeight w:val="2873"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i w:val="0"/>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Productive</w:t>
            </w: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Rational</w:t>
            </w:r>
          </w:p>
          <w:p w:rsidR="00000000" w:rsidDel="00000000" w:rsidP="00000000" w:rsidRDefault="00000000" w:rsidRPr="00000000" w14:paraId="0000009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Creative</w:t>
            </w:r>
          </w:p>
          <w:p w:rsidR="00000000" w:rsidDel="00000000" w:rsidP="00000000" w:rsidRDefault="00000000" w:rsidRPr="00000000" w14:paraId="0000009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Ethical</w:t>
            </w:r>
          </w:p>
          <w:p w:rsidR="00000000" w:rsidDel="00000000" w:rsidP="00000000" w:rsidRDefault="00000000" w:rsidRPr="00000000" w14:paraId="0000009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Respectful to differences</w:t>
            </w:r>
          </w:p>
          <w:p w:rsidR="00000000" w:rsidDel="00000000" w:rsidP="00000000" w:rsidRDefault="00000000" w:rsidRPr="00000000" w14:paraId="0000009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Sensitive to social issues</w:t>
            </w:r>
          </w:p>
          <w:p w:rsidR="00000000" w:rsidDel="00000000" w:rsidP="00000000" w:rsidRDefault="00000000" w:rsidRPr="00000000" w14:paraId="0000009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able to use own language effectively</w:t>
            </w:r>
          </w:p>
          <w:p w:rsidR="00000000" w:rsidDel="00000000" w:rsidP="00000000" w:rsidRDefault="00000000" w:rsidRPr="00000000" w14:paraId="0000009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Sensitive to environment</w:t>
            </w:r>
          </w:p>
          <w:p w:rsidR="00000000" w:rsidDel="00000000" w:rsidP="00000000" w:rsidRDefault="00000000" w:rsidRPr="00000000" w14:paraId="000000A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Able to use a foreign language effectively</w:t>
            </w:r>
          </w:p>
          <w:p w:rsidR="00000000" w:rsidDel="00000000" w:rsidP="00000000" w:rsidRDefault="00000000" w:rsidRPr="00000000" w14:paraId="000000A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Able to adapt to different social roles in various situations</w:t>
            </w:r>
          </w:p>
          <w:p w:rsidR="00000000" w:rsidDel="00000000" w:rsidP="00000000" w:rsidRDefault="00000000" w:rsidRPr="00000000" w14:paraId="000000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Able to work as a team member</w:t>
            </w:r>
          </w:p>
          <w:p w:rsidR="00000000" w:rsidDel="00000000" w:rsidP="00000000" w:rsidRDefault="00000000" w:rsidRPr="00000000" w14:paraId="000000A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i w:val="0"/>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Able to use time effectively</w:t>
            </w:r>
          </w:p>
          <w:p w:rsidR="00000000" w:rsidDel="00000000" w:rsidP="00000000" w:rsidRDefault="00000000" w:rsidRPr="00000000" w14:paraId="000000A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color w:val="000000"/>
                <w:sz w:val="20"/>
                <w:szCs w:val="20"/>
                <w:u w:val="no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Having a critical mind</w:t>
            </w:r>
            <w:r w:rsidDel="00000000" w:rsidR="00000000" w:rsidRPr="00000000">
              <w:rPr>
                <w:rtl w:val="0"/>
              </w:rPr>
            </w:r>
          </w:p>
        </w:tc>
      </w:tr>
    </w:tbl>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bl>
      <w:tblPr>
        <w:tblStyle w:val="Table7"/>
        <w:tblW w:w="9029.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029"/>
        <w:tblGridChange w:id="0">
          <w:tblGrid>
            <w:gridCol w:w="9029"/>
          </w:tblGrid>
        </w:tblGridChange>
      </w:tblGrid>
      <w:tr>
        <w:trPr>
          <w:cantSplit w:val="0"/>
          <w:trHeight w:val="46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COURSE CONTENTS</w:t>
            </w:r>
            <w:r w:rsidDel="00000000" w:rsidR="00000000" w:rsidRPr="00000000">
              <w:rPr>
                <w:rtl w:val="0"/>
              </w:rPr>
            </w:r>
          </w:p>
        </w:tc>
      </w:tr>
      <w:tr>
        <w:trPr>
          <w:cantSplit w:val="0"/>
          <w:trHeight w:val="612"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The aim of this education is to provide the trainees with clinical knowledge on plastic and reconstructive surgery, and to assure sufficient experience in physical examination and recognizing the diseases’ findings. At the end of this training, trainees will be able to manage patients and guide patients who require further evaluation and treatment modalities. </w:t>
            </w:r>
            <w:r w:rsidDel="00000000" w:rsidR="00000000" w:rsidRPr="00000000">
              <w:rPr>
                <w:rtl w:val="0"/>
              </w:rPr>
            </w:r>
          </w:p>
        </w:tc>
      </w:tr>
    </w:tbl>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bl>
      <w:tblPr>
        <w:tblStyle w:val="Table8"/>
        <w:tblW w:w="9029.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029"/>
        <w:tblGridChange w:id="0">
          <w:tblGrid>
            <w:gridCol w:w="9029"/>
          </w:tblGrid>
        </w:tblGridChange>
      </w:tblGrid>
      <w:tr>
        <w:trPr>
          <w:cantSplit w:val="0"/>
          <w:trHeight w:val="46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COURSE TEXTBOOKS AND SUPPLEMENTARY READINGS</w:t>
            </w:r>
            <w:r w:rsidDel="00000000" w:rsidR="00000000" w:rsidRPr="00000000">
              <w:rPr>
                <w:rtl w:val="0"/>
              </w:rPr>
            </w:r>
          </w:p>
        </w:tc>
      </w:tr>
      <w:tr>
        <w:trPr>
          <w:cantSplit w:val="0"/>
          <w:trHeight w:val="1209"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Textbooks</w:t>
            </w:r>
          </w:p>
          <w:p w:rsidR="00000000" w:rsidDel="00000000" w:rsidP="00000000" w:rsidRDefault="00000000" w:rsidRPr="00000000" w14:paraId="000000A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color w:val="000000"/>
                <w:sz w:val="20"/>
                <w:szCs w:val="20"/>
                <w:u w:val="no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Grabb &amp; Smith’s PlasticSurgery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Supplementary Readings</w:t>
            </w:r>
          </w:p>
          <w:p w:rsidR="00000000" w:rsidDel="00000000" w:rsidP="00000000" w:rsidRDefault="00000000" w:rsidRPr="00000000" w14:paraId="000000B0">
            <w:pPr>
              <w:pStyle w:val="Heading1"/>
              <w:keepNext w:val="0"/>
              <w:keepLines w:val="0"/>
              <w:numPr>
                <w:ilvl w:val="0"/>
                <w:numId w:val="3"/>
              </w:numPr>
              <w:shd w:fill="ffffff" w:val="clear"/>
              <w:spacing w:after="0" w:before="0" w:line="360" w:lineRule="auto"/>
              <w:ind w:left="720" w:hanging="360"/>
              <w:rPr>
                <w:sz w:val="20"/>
                <w:szCs w:val="20"/>
              </w:rPr>
            </w:pPr>
            <w:r w:rsidDel="00000000" w:rsidR="00000000" w:rsidRPr="00000000">
              <w:rPr>
                <w:rFonts w:ascii="Times New Roman" w:cs="Times New Roman" w:eastAsia="Times New Roman" w:hAnsi="Times New Roman"/>
                <w:sz w:val="20"/>
                <w:szCs w:val="20"/>
                <w:rtl w:val="0"/>
              </w:rPr>
              <w:t xml:space="preserve">Secrets of Plastic Surgery, Basic Principles in Plastic Surgery</w:t>
            </w:r>
          </w:p>
        </w:tc>
      </w:tr>
    </w:tbl>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bl>
      <w:tblPr>
        <w:tblStyle w:val="Table9"/>
        <w:tblW w:w="9029.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029"/>
        <w:tblGridChange w:id="0">
          <w:tblGrid>
            <w:gridCol w:w="9029"/>
          </w:tblGrid>
        </w:tblGridChange>
      </w:tblGrid>
      <w:tr>
        <w:trPr>
          <w:cantSplit w:val="0"/>
          <w:trHeight w:val="46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COURSE ASSESSMENT AND EVALUATION SYSTEM</w:t>
            </w:r>
            <w:r w:rsidDel="00000000" w:rsidR="00000000" w:rsidRPr="00000000">
              <w:rPr>
                <w:rtl w:val="0"/>
              </w:rPr>
            </w:r>
          </w:p>
        </w:tc>
      </w:tr>
      <w:tr>
        <w:trPr>
          <w:cantSplit w:val="0"/>
          <w:trHeight w:val="4386"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Studies during the year</w:t>
              <w:tab/>
              <w:t xml:space="preserve">Percent grade</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Clerkship Examination </w:t>
              <w:tab/>
              <w:t xml:space="preserve">50</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Structured Oral Examination </w:t>
              <w:tab/>
              <w:t xml:space="preserve">50</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ICE (İş Başı Değerlendirme)</w:t>
              <w:tab/>
              <w:t xml:space="preserve">-</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OSCE (Structured Subjective Clinical Examination)</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Attendance </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Laboratory</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Clinical Practice</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Field study</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Lesson Specific Internship</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 (if there is) </w:t>
              <w:tab/>
              <w:t xml:space="preserve">-</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Homework</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Presentation</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Project</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Seminar</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Problem Based Learning</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Others</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TOTAL</w:t>
              <w:tab/>
              <w:t xml:space="preserve">100</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4"/>
                <w:szCs w:val="14"/>
                <w:u w:val="single"/>
                <w:shd w:fill="auto" w:val="clear"/>
                <w:vertAlign w:val="baseline"/>
              </w:rPr>
            </w:pPr>
            <w:r w:rsidDel="00000000" w:rsidR="00000000" w:rsidRPr="00000000">
              <w:rPr>
                <w:rFonts w:ascii="Arial" w:cs="Arial" w:eastAsia="Arial" w:hAnsi="Arial"/>
                <w:b w:val="1"/>
                <w:i w:val="0"/>
                <w:smallCaps w:val="0"/>
                <w:strike w:val="0"/>
                <w:color w:val="000000"/>
                <w:sz w:val="14"/>
                <w:szCs w:val="14"/>
                <w:u w:val="single"/>
                <w:shd w:fill="auto" w:val="clear"/>
                <w:vertAlign w:val="baseline"/>
                <w:rtl w:val="0"/>
              </w:rPr>
              <w:t xml:space="preserve">NOTES:</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4"/>
                <w:szCs w:val="14"/>
                <w:u w:val="none"/>
                <w:shd w:fill="auto" w:val="clear"/>
                <w:vertAlign w:val="baseline"/>
                <w:rtl w:val="0"/>
              </w:rPr>
              <w:t xml:space="preserve">Assessment and Evaluation System is organized according to T.C. Maltepe University Faculty of Medicine Education and Training Regulations.</w:t>
            </w:r>
            <w:r w:rsidDel="00000000" w:rsidR="00000000" w:rsidRPr="00000000">
              <w:rPr>
                <w:rtl w:val="0"/>
              </w:rPr>
            </w:r>
          </w:p>
        </w:tc>
      </w:tr>
    </w:tbl>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tbl>
      <w:tblPr>
        <w:tblStyle w:val="Table10"/>
        <w:tblW w:w="9029.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029"/>
        <w:tblGridChange w:id="0">
          <w:tblGrid>
            <w:gridCol w:w="9029"/>
          </w:tblGrid>
        </w:tblGridChange>
      </w:tblGrid>
      <w:tr>
        <w:trPr>
          <w:cantSplit w:val="0"/>
          <w:trHeight w:val="484"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ECTS STUDENT WORKLOAD TABLE</w:t>
            </w:r>
            <w:r w:rsidDel="00000000" w:rsidR="00000000" w:rsidRPr="00000000">
              <w:rPr>
                <w:rtl w:val="0"/>
              </w:rPr>
            </w:r>
          </w:p>
        </w:tc>
      </w:tr>
      <w:tr>
        <w:trPr>
          <w:cantSplit w:val="0"/>
          <w:trHeight w:val="3941"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Activities</w:t>
              <w:tab/>
              <w:t xml:space="preserve">Number</w:t>
              <w:tab/>
              <w:t xml:space="preserve">Duration</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(hours)</w:t>
              <w:tab/>
              <w:t xml:space="preserve">Total work load</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Lectures</w:t>
              <w:tab/>
              <w:t xml:space="preserve">18</w:t>
              <w:tab/>
              <w:t xml:space="preserve">1</w:t>
              <w:tab/>
              <w:t xml:space="preserve">18</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Laboratory</w:t>
              <w:tab/>
              <w:t xml:space="preserve">-</w:t>
              <w:tab/>
              <w:t xml:space="preserve">-</w:t>
              <w:tab/>
              <w:t xml:space="preserve">-</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Practice</w:t>
              <w:tab/>
              <w:t xml:space="preserve">42</w:t>
              <w:tab/>
              <w:t xml:space="preserve">1</w:t>
              <w:tab/>
              <w:t xml:space="preserve">42</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Lesson specific internship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there is) </w:t>
              <w:tab/>
              <w:t xml:space="preserve">-</w:t>
              <w:tab/>
              <w:t xml:space="preserve">-</w:t>
              <w:tab/>
              <w:t xml:space="preserve">-</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Field study</w:t>
              <w:tab/>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tab/>
              <w:t xml:space="preserve">-</w:t>
              <w:tab/>
              <w:t xml:space="preserve">-</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Lesson study time out of class</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(pre work, strengthen, etc)</w:t>
              <w:tab/>
              <w:t xml:space="preserve">5</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t xml:space="preserve">1</w:t>
              <w:tab/>
              <w:t xml:space="preserve">5</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Presentation / Preparing seminar</w:t>
              <w:tab/>
              <w:t xml:space="preserve">1</w:t>
              <w:tab/>
              <w:t xml:space="preserve">5</w:t>
              <w:tab/>
              <w:t xml:space="preserve">5</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Project</w:t>
              <w:tab/>
              <w:t xml:space="preserve">-</w:t>
              <w:tab/>
              <w:t xml:space="preserve">-</w:t>
              <w:tab/>
              <w:t xml:space="preserve">-</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Homework</w:t>
              <w:tab/>
              <w:t xml:space="preserve">-</w:t>
              <w:tab/>
              <w:t xml:space="preserve">-</w:t>
              <w:tab/>
              <w:t xml:space="preserve">-</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İnterval examinations</w:t>
              <w:tab/>
              <w:t xml:space="preserve">-</w:t>
              <w:tab/>
              <w:t xml:space="preserve">-</w:t>
              <w:tab/>
              <w:t xml:space="preserve">-</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Clerkship Examination </w:t>
              <w:tab/>
              <w:t xml:space="preserve">1</w:t>
              <w:tab/>
              <w:t xml:space="preserve">5</w:t>
              <w:tab/>
              <w:t xml:space="preserve">5</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Total work load </w:t>
              <w:tab/>
              <w:t xml:space="preserve">75</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bl>
      <w:tblPr>
        <w:tblStyle w:val="Table11"/>
        <w:tblW w:w="9029.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029"/>
        <w:tblGridChange w:id="0">
          <w:tblGrid>
            <w:gridCol w:w="9029"/>
          </w:tblGrid>
        </w:tblGridChange>
      </w:tblGrid>
      <w:tr>
        <w:trPr>
          <w:cantSplit w:val="0"/>
          <w:trHeight w:val="614"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RELATIONSHIP BETWEEN GENERAL SURGERY INTERSHIP LEARNING OUTCOMES AND MEDICAL EDUCATION PROGRAMME KEY LEARNING OUTCOMES</w:t>
            </w:r>
            <w:r w:rsidDel="00000000" w:rsidR="00000000" w:rsidRPr="00000000">
              <w:rPr>
                <w:rtl w:val="0"/>
              </w:rPr>
            </w:r>
          </w:p>
        </w:tc>
      </w:tr>
      <w:tr>
        <w:trPr>
          <w:cantSplit w:val="0"/>
          <w:trHeight w:val="4016"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No</w:t>
              <w:tab/>
              <w:t xml:space="preserve">Program Competencies/ Outcomes</w:t>
              <w:tab/>
              <w:t xml:space="preserve">Level of Contribution</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ab/>
              <w:tab/>
              <w:t xml:space="preserve">1</w:t>
              <w:tab/>
              <w:t xml:space="preserve">2</w:t>
              <w:tab/>
              <w:t xml:space="preserve">3</w:t>
              <w:tab/>
              <w:t xml:space="preserve">4</w:t>
              <w:tab/>
              <w:t xml:space="preserve">5</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w:t>
              <w:tab/>
              <w:t xml:space="preserve">Able to explain the normal structure and functions of the organism. 4</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tab/>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2</w:t>
              <w:tab/>
              <w:t xml:space="preserve">Able to explain the pathogenesis, clinical and diagnostic features of psychiatric disorders 4</w:t>
            </w: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3</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Able to take history and perform mental status examination. 4</w:t>
            </w: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4</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Able to perform first step interventions and refer and transfer cases  in life threatening emergency situations.</w:t>
              <w:tab/>
              <w:t xml:space="preserve">4</w:t>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5</w:t>
              <w:tab/>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Able to perform necessary basic medical interventions for the diahnosis and treatment of mental 4</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6</w:t>
              <w:tab/>
              <w:t xml:space="preserve">Able to perform preventive measures and forensic practices. 3</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7</w:t>
              <w:tab/>
              <w:t xml:space="preserve">Having sufficient knowledge about the structure and process of the National Health System. 3</w:t>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8</w:t>
              <w:tab/>
              <w:t xml:space="preserve">Able to define legal responsibilities and ethical principles. 3</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9</w:t>
              <w:tab/>
              <w:t xml:space="preserve">Able to perform first step care  of most prevalent disorders in the community  with effective  evidence based medical methods. 4</w:t>
            </w: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10</w:t>
              <w:tab/>
              <w:t xml:space="preserve">Able to organize and implement scientific meetings and projects </w:t>
              <w:tab/>
              <w:t xml:space="preserve">4</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11</w:t>
              <w:tab/>
              <w:t xml:space="preserve">Able to use a major foreign language sufficient enough for follow up of literature and update of medical knowledge; able to use computer and statistical skills for the evaluation of scientific studies. 3</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ab/>
              <w:tab/>
              <w:tab/>
            </w:r>
            <w:r w:rsidDel="00000000" w:rsidR="00000000" w:rsidRPr="00000000">
              <w:rPr>
                <w:rtl w:val="0"/>
              </w:rPr>
            </w:r>
          </w:p>
        </w:tc>
      </w:tr>
    </w:tbl>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sectPr>
          <w:headerReference r:id="rId10" w:type="default"/>
          <w:footerReference r:id="rId11" w:type="default"/>
          <w:pgSz w:h="16840" w:w="1190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tbl>
      <w:tblPr>
        <w:tblStyle w:val="Table12"/>
        <w:tblW w:w="6804.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6804"/>
        <w:tblGridChange w:id="0">
          <w:tblGrid>
            <w:gridCol w:w="6804"/>
          </w:tblGrid>
        </w:tblGridChange>
      </w:tblGrid>
      <w:tr>
        <w:trPr>
          <w:cantSplit w:val="0"/>
          <w:trHeight w:val="46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EDUCATIONAL METHODS GUIDE</w:t>
            </w:r>
            <w:r w:rsidDel="00000000" w:rsidR="00000000" w:rsidRPr="00000000">
              <w:rPr>
                <w:rtl w:val="0"/>
              </w:rPr>
            </w:r>
          </w:p>
        </w:tc>
      </w:tr>
      <w:tr>
        <w:trPr>
          <w:cantSplit w:val="0"/>
          <w:trHeight w:val="2616"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CODE</w:t>
              <w:tab/>
              <w:t xml:space="preserve">METHOD NAME</w:t>
              <w:tab/>
              <w:t xml:space="preserve">EXPLANATION</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EM1</w:t>
              <w:tab/>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Amphitheatre lesson</w:t>
              <w:tab/>
              <w:t xml:space="preserve">These are the courses applied in preclinical education where the whole class is together.</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EM2</w:t>
              <w:tab/>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Class lesson</w:t>
              <w:tab/>
              <w:t xml:space="preserve">These are courses applied in small groups during the clinical period.</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EM3</w:t>
              <w:tab/>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Lab application</w:t>
              <w:tab/>
              <w:t xml:space="preserve">These are laboratory courses applied in the preclinical period.</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EM4</w:t>
              <w:tab/>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Skill Training App</w:t>
              <w:tab/>
              <w:t xml:space="preserve">It is the work that the student does on a model or mannequin before meeting with the real patient, which will be done in the Virtual Clinic or other environment.</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EM5</w:t>
              <w:tab/>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Clinic Education</w:t>
              <w:tab/>
              <w:t xml:space="preserve">These are activities that provide clinical competence by applying bedside training with real patients or models under the supervision of trainers.</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EM6</w:t>
              <w:tab/>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Independent Study Hours</w:t>
              <w:tab/>
              <w:t xml:space="preserve">These are the periods in the curriculum for the student to repeat what they have learned and to prepare for new lesson sessions.</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EM7</w:t>
              <w:tab/>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Community Based Education Application</w:t>
              <w:tab/>
              <w:t xml:space="preserve">Field practices, non-unit professional practices, etc. includes.</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EM8</w:t>
              <w:tab/>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Problem Based Learning</w:t>
              <w:tab/>
              <w:t xml:space="preserve">Problem based learning.</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EM9</w:t>
              <w:tab/>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Private Study module</w:t>
              <w:tab/>
              <w:t xml:space="preserve">These are applications that will enable the student to gain in-depth knowledge about a subject individually or as a group.</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EM10</w:t>
              <w:tab/>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Scientific Research study</w:t>
              <w:tab/>
              <w:t xml:space="preserve">These are applications aimed at improving the scientific research competence of the student.</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EM11</w:t>
              <w:tab/>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Other</w:t>
              <w:tab/>
              <w:t xml:space="preserve">If this code is used, the training method should be written in detail.</w:t>
            </w:r>
            <w:r w:rsidDel="00000000" w:rsidR="00000000" w:rsidRPr="00000000">
              <w:rPr>
                <w:rtl w:val="0"/>
              </w:rPr>
            </w:r>
          </w:p>
        </w:tc>
      </w:tr>
      <w:tr>
        <w:trPr>
          <w:cantSplit w:val="0"/>
          <w:trHeight w:val="460" w:hRule="atLeast"/>
          <w:tblHeader w:val="0"/>
        </w:trPr>
        <w:tc>
          <w:tcPr>
            <w:tcBorders>
              <w:top w:color="000000" w:space="0" w:sz="8" w:val="single"/>
              <w:left w:color="000000" w:space="0" w:sz="8" w:val="single"/>
              <w:bottom w:color="000000" w:space="0" w:sz="8" w:val="single"/>
              <w:right w:color="000000" w:space="0" w:sz="8" w:val="single"/>
            </w:tcBorders>
            <w:shd w:fill="d9d9d9" w:val="clear"/>
            <w:tcMar>
              <w:top w:w="80.0" w:type="dxa"/>
              <w:left w:w="80.0" w:type="dxa"/>
              <w:bottom w:w="80.0" w:type="dxa"/>
              <w:right w:w="80.0" w:type="dxa"/>
            </w:tcMar>
            <w:vAlign w:val="cente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MEASUREMENT EVALUATION METHODS GUIDE</w:t>
            </w:r>
            <w:r w:rsidDel="00000000" w:rsidR="00000000" w:rsidRPr="00000000">
              <w:rPr>
                <w:rtl w:val="0"/>
              </w:rPr>
            </w:r>
          </w:p>
        </w:tc>
      </w:tr>
      <w:tr>
        <w:trPr>
          <w:cantSplit w:val="0"/>
          <w:trHeight w:val="1776"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80.0" w:type="dxa"/>
              <w:left w:w="80.0" w:type="dxa"/>
              <w:bottom w:w="80.0" w:type="dxa"/>
              <w:right w:w="80.0" w:type="dxa"/>
            </w:tcMar>
            <w:vAlign w:val="center"/>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CODE</w:t>
              <w:tab/>
              <w:t xml:space="preserve">METHOD NAME</w:t>
              <w:tab/>
              <w:t xml:space="preserve">EXPLANATION</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   ME1</w:t>
              <w:tab/>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Theoretical Exam ( Multiple Elective , Multiple Optional etc Questions containing )</w:t>
              <w:tab/>
              <w:t xml:space="preserve">The committee is the exam used in the final exams.</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   ME2</w:t>
              <w:tab/>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Practical exam</w:t>
              <w:tab/>
              <w:t xml:space="preserve">It should be used for laboratory applications.</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ME3</w:t>
              <w:tab/>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Classical Verbal</w:t>
              <w:tab/>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ME4</w:t>
              <w:tab/>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Structured Oral</w:t>
              <w:tab/>
              <w:t xml:space="preserve">It is an oral exam in which questions and answers are prepared on a form beforehand.</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ME5</w:t>
              <w:tab/>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OSCE</w:t>
              <w:tab/>
              <w:t xml:space="preserve">Objective Structured Clinical Examination</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ME6</w:t>
              <w:tab/>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CORE</w:t>
              <w:tab/>
              <w:t xml:space="preserve">Clinical Act Execution Exam</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ME7</w:t>
              <w:tab/>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ICE ( Business head Evaluation )</w:t>
              <w:tab/>
              <w:t xml:space="preserve">It is the evaluation made by the trainer on the student at the bedside or during the practice.</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2"/>
                <w:szCs w:val="12"/>
                <w:u w:val="none"/>
                <w:shd w:fill="auto" w:val="clear"/>
                <w:vertAlign w:val="baseline"/>
                <w:rtl w:val="0"/>
              </w:rPr>
              <w:t xml:space="preserve">ME8</w:t>
              <w:tab/>
            </w:r>
            <w:r w:rsidDel="00000000" w:rsidR="00000000" w:rsidRPr="00000000">
              <w:rPr>
                <w:rFonts w:ascii="Arial" w:cs="Arial" w:eastAsia="Arial" w:hAnsi="Arial"/>
                <w:b w:val="0"/>
                <w:i w:val="0"/>
                <w:smallCaps w:val="0"/>
                <w:strike w:val="0"/>
                <w:color w:val="000000"/>
                <w:sz w:val="12"/>
                <w:szCs w:val="12"/>
                <w:u w:val="none"/>
                <w:shd w:fill="auto" w:val="clear"/>
                <w:vertAlign w:val="baseline"/>
                <w:rtl w:val="0"/>
              </w:rPr>
              <w:t xml:space="preserve">Other</w:t>
              <w:tab/>
              <w:t xml:space="preserve">A statement must be made.</w:t>
            </w:r>
            <w:r w:rsidDel="00000000" w:rsidR="00000000" w:rsidRPr="00000000">
              <w:rPr>
                <w:rtl w:val="0"/>
              </w:rPr>
            </w:r>
          </w:p>
        </w:tc>
      </w:tr>
    </w:tbl>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25"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headerReference r:id="rId12" w:type="default"/>
      <w:type w:val="nextPage"/>
      <w:pgSz w:h="16840" w:w="1190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1"/>
        <w:smallCaps w:val="0"/>
        <w:strike w:val="0"/>
        <w:shd w:fill="auto" w:val="clear"/>
        <w:vertAlign w:val="baseline"/>
      </w:rPr>
    </w:lvl>
    <w:lvl w:ilvl="1">
      <w:start w:val="1"/>
      <w:numFmt w:val="decimal"/>
      <w:lvlText w:val="%2."/>
      <w:lvlJc w:val="left"/>
      <w:pPr>
        <w:ind w:left="1080" w:hanging="360"/>
      </w:pPr>
      <w:rPr>
        <w:b w:val="1"/>
        <w:smallCaps w:val="0"/>
        <w:strike w:val="0"/>
        <w:shd w:fill="auto" w:val="clear"/>
        <w:vertAlign w:val="baseline"/>
      </w:rPr>
    </w:lvl>
    <w:lvl w:ilvl="2">
      <w:start w:val="1"/>
      <w:numFmt w:val="decimal"/>
      <w:lvlText w:val="%3."/>
      <w:lvlJc w:val="left"/>
      <w:pPr>
        <w:ind w:left="1800" w:hanging="360"/>
      </w:pPr>
      <w:rPr>
        <w:b w:val="1"/>
        <w:smallCaps w:val="0"/>
        <w:strike w:val="0"/>
        <w:shd w:fill="auto" w:val="clear"/>
        <w:vertAlign w:val="baseline"/>
      </w:rPr>
    </w:lvl>
    <w:lvl w:ilvl="3">
      <w:start w:val="1"/>
      <w:numFmt w:val="decimal"/>
      <w:lvlText w:val="%4."/>
      <w:lvlJc w:val="left"/>
      <w:pPr>
        <w:ind w:left="2520" w:hanging="360"/>
      </w:pPr>
      <w:rPr>
        <w:b w:val="1"/>
        <w:smallCaps w:val="0"/>
        <w:strike w:val="0"/>
        <w:shd w:fill="auto" w:val="clear"/>
        <w:vertAlign w:val="baseline"/>
      </w:rPr>
    </w:lvl>
    <w:lvl w:ilvl="4">
      <w:start w:val="1"/>
      <w:numFmt w:val="decimal"/>
      <w:lvlText w:val="%5."/>
      <w:lvlJc w:val="left"/>
      <w:pPr>
        <w:ind w:left="3240" w:hanging="360"/>
      </w:pPr>
      <w:rPr>
        <w:b w:val="1"/>
        <w:smallCaps w:val="0"/>
        <w:strike w:val="0"/>
        <w:shd w:fill="auto" w:val="clear"/>
        <w:vertAlign w:val="baseline"/>
      </w:rPr>
    </w:lvl>
    <w:lvl w:ilvl="5">
      <w:start w:val="1"/>
      <w:numFmt w:val="decimal"/>
      <w:lvlText w:val="%6."/>
      <w:lvlJc w:val="left"/>
      <w:pPr>
        <w:ind w:left="3960" w:hanging="360"/>
      </w:pPr>
      <w:rPr>
        <w:b w:val="1"/>
        <w:smallCaps w:val="0"/>
        <w:strike w:val="0"/>
        <w:shd w:fill="auto" w:val="clear"/>
        <w:vertAlign w:val="baseline"/>
      </w:rPr>
    </w:lvl>
    <w:lvl w:ilvl="6">
      <w:start w:val="1"/>
      <w:numFmt w:val="decimal"/>
      <w:lvlText w:val="%7."/>
      <w:lvlJc w:val="left"/>
      <w:pPr>
        <w:ind w:left="4680" w:hanging="360"/>
      </w:pPr>
      <w:rPr>
        <w:b w:val="1"/>
        <w:smallCaps w:val="0"/>
        <w:strike w:val="0"/>
        <w:shd w:fill="auto" w:val="clear"/>
        <w:vertAlign w:val="baseline"/>
      </w:rPr>
    </w:lvl>
    <w:lvl w:ilvl="7">
      <w:start w:val="1"/>
      <w:numFmt w:val="decimal"/>
      <w:lvlText w:val="%8."/>
      <w:lvlJc w:val="left"/>
      <w:pPr>
        <w:ind w:left="5400" w:hanging="360"/>
      </w:pPr>
      <w:rPr>
        <w:b w:val="1"/>
        <w:smallCaps w:val="0"/>
        <w:strike w:val="0"/>
        <w:shd w:fill="auto" w:val="clear"/>
        <w:vertAlign w:val="baseline"/>
      </w:rPr>
    </w:lvl>
    <w:lvl w:ilvl="8">
      <w:start w:val="1"/>
      <w:numFmt w:val="decimal"/>
      <w:lvlText w:val="%9."/>
      <w:lvlJc w:val="left"/>
      <w:pPr>
        <w:ind w:left="6120" w:hanging="360"/>
      </w:pPr>
      <w:rPr>
        <w:b w:val="1"/>
        <w:smallCaps w:val="0"/>
        <w:strike w:val="0"/>
        <w:shd w:fill="auto" w:val="clea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12" Type="http://schemas.openxmlformats.org/officeDocument/2006/relationships/header" Target="header2.xml"/><Relationship Id="rId9" Type="http://schemas.openxmlformats.org/officeDocument/2006/relationships/hyperlink" Target="mailto:emre.guvercin@maltepe.edu.tr" TargetMode="External"/><Relationship Id="rId5" Type="http://schemas.openxmlformats.org/officeDocument/2006/relationships/styles" Target="styles.xml"/><Relationship Id="rId6" Type="http://schemas.openxmlformats.org/officeDocument/2006/relationships/hyperlink" Target="mailto:tayfun.akoz@maltepe.edu.tr" TargetMode="External"/><Relationship Id="rId7" Type="http://schemas.openxmlformats.org/officeDocument/2006/relationships/hyperlink" Target="mailto:tayfun.akoz@maltepe.edu.tr" TargetMode="External"/><Relationship Id="rId8" Type="http://schemas.openxmlformats.org/officeDocument/2006/relationships/hyperlink" Target="mailto:nebil.yesiloglu@maltepe.edu.t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